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3" w:rsidRPr="00ED16C3" w:rsidRDefault="00ED16C3" w:rsidP="00ED16C3">
      <w:pPr>
        <w:jc w:val="both"/>
        <w:rPr>
          <w:bCs/>
        </w:rPr>
      </w:pPr>
      <w:bookmarkStart w:id="0" w:name="_GoBack"/>
      <w:bookmarkEnd w:id="0"/>
      <w:r w:rsidRPr="00ED16C3">
        <w:rPr>
          <w:bCs/>
          <w:noProof/>
          <w:lang w:eastAsia="pl-PL"/>
        </w:rPr>
        <w:drawing>
          <wp:inline distT="0" distB="0" distL="0" distR="0">
            <wp:extent cx="1362075" cy="523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7" t="7957" r="32658" b="6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1362075" cy="4667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40584" r="26532" b="3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371475" cy="390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685800" cy="314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72" t="42970" r="36205" b="5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 </w:t>
      </w:r>
      <w:r w:rsidRPr="00ED16C3">
        <w:rPr>
          <w:bCs/>
          <w:noProof/>
          <w:lang w:eastAsia="pl-PL"/>
        </w:rPr>
        <w:drawing>
          <wp:inline distT="0" distB="0" distL="0" distR="0">
            <wp:extent cx="1581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69496" r="26532" b="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C3" w:rsidRPr="00ED16C3" w:rsidRDefault="00ED16C3" w:rsidP="00ED16C3">
      <w:pPr>
        <w:jc w:val="both"/>
        <w:rPr>
          <w:bCs/>
        </w:rPr>
      </w:pPr>
    </w:p>
    <w:p w:rsidR="00ED16C3" w:rsidRPr="00ED16C3" w:rsidRDefault="00ED16C3" w:rsidP="00ED16C3">
      <w:pPr>
        <w:jc w:val="both"/>
        <w:rPr>
          <w:bCs/>
        </w:rPr>
      </w:pPr>
      <w:r w:rsidRPr="00ED16C3">
        <w:rPr>
          <w:bCs/>
        </w:rPr>
        <w:t>Projekt pn. „</w:t>
      </w:r>
      <w:r w:rsidRPr="00ED16C3">
        <w:rPr>
          <w:b/>
          <w:bCs/>
          <w:i/>
        </w:rPr>
        <w:t>Działania edukacyjne dotyczące respektowania obowiązujących przepisów ruchu drogowego”</w:t>
      </w:r>
      <w:r w:rsidRPr="00ED16C3">
        <w:rPr>
          <w:b/>
          <w:bCs/>
        </w:rPr>
        <w:fldChar w:fldCharType="begin"/>
      </w:r>
      <w:r w:rsidRPr="00ED16C3">
        <w:rPr>
          <w:b/>
          <w:bCs/>
        </w:rPr>
        <w:instrText xml:space="preserve"> COMMENTS  \* MERGEFORMAT </w:instrText>
      </w:r>
      <w:r w:rsidRPr="00ED16C3">
        <w:rPr>
          <w:b/>
        </w:rPr>
        <w:fldChar w:fldCharType="end"/>
      </w:r>
      <w:r w:rsidRPr="00ED16C3">
        <w:rPr>
          <w:b/>
          <w:bCs/>
        </w:rPr>
        <w:fldChar w:fldCharType="begin"/>
      </w:r>
      <w:r w:rsidRPr="00ED16C3">
        <w:rPr>
          <w:b/>
          <w:bCs/>
        </w:rPr>
        <w:instrText xml:space="preserve"> FILLIN "tytul" </w:instrText>
      </w:r>
      <w:r w:rsidRPr="00ED16C3">
        <w:rPr>
          <w:b/>
        </w:rPr>
        <w:fldChar w:fldCharType="end"/>
      </w:r>
      <w:r w:rsidRPr="00ED16C3">
        <w:rPr>
          <w:b/>
          <w:bCs/>
        </w:rPr>
        <w:fldChar w:fldCharType="begin"/>
      </w:r>
      <w:r w:rsidRPr="00ED16C3">
        <w:rPr>
          <w:b/>
          <w:bCs/>
        </w:rPr>
        <w:instrText xml:space="preserve"> COMMENTS  \* MERGEFORMAT </w:instrText>
      </w:r>
      <w:r w:rsidRPr="00ED16C3">
        <w:rPr>
          <w:b/>
        </w:rPr>
        <w:fldChar w:fldCharType="end"/>
      </w:r>
      <w:r w:rsidRPr="00ED16C3">
        <w:rPr>
          <w:b/>
          <w:bCs/>
        </w:rPr>
        <w:fldChar w:fldCharType="begin"/>
      </w:r>
      <w:r w:rsidRPr="00ED16C3">
        <w:rPr>
          <w:b/>
          <w:bCs/>
        </w:rPr>
        <w:instrText xml:space="preserve"> COMMENTS </w:instrText>
      </w:r>
      <w:r w:rsidRPr="00ED16C3">
        <w:rPr>
          <w:b/>
        </w:rPr>
        <w:fldChar w:fldCharType="end"/>
      </w:r>
      <w:r w:rsidRPr="00ED16C3">
        <w:rPr>
          <w:b/>
          <w:bCs/>
        </w:rPr>
        <w:fldChar w:fldCharType="begin"/>
      </w:r>
      <w:r w:rsidRPr="00ED16C3">
        <w:rPr>
          <w:b/>
          <w:bCs/>
        </w:rPr>
        <w:instrText xml:space="preserve"> COMMENTS  \* MERGEFORMAT </w:instrText>
      </w:r>
      <w:r w:rsidRPr="00ED16C3">
        <w:rPr>
          <w:b/>
        </w:rPr>
        <w:fldChar w:fldCharType="end"/>
      </w:r>
      <w:r w:rsidRPr="00ED16C3">
        <w:rPr>
          <w:b/>
          <w:bCs/>
        </w:rPr>
        <w:fldChar w:fldCharType="begin"/>
      </w:r>
      <w:r w:rsidRPr="00ED16C3">
        <w:rPr>
          <w:b/>
          <w:bCs/>
        </w:rPr>
        <w:instrText xml:space="preserve"> COMMENTS  \* MERGEFORMAT </w:instrText>
      </w:r>
      <w:r w:rsidRPr="00ED16C3">
        <w:rPr>
          <w:b/>
        </w:rPr>
        <w:fldChar w:fldCharType="end"/>
      </w:r>
      <w:r w:rsidRPr="00ED16C3">
        <w:rPr>
          <w:b/>
        </w:rPr>
        <w:t xml:space="preserve"> </w:t>
      </w:r>
      <w:r w:rsidRPr="00ED16C3">
        <w:rPr>
          <w:b/>
          <w:bCs/>
        </w:rPr>
        <w:t>POIS.03.01.00-00-0035/17</w:t>
      </w:r>
      <w:r w:rsidRPr="00ED16C3">
        <w:rPr>
          <w:bCs/>
        </w:rPr>
        <w:t xml:space="preserve"> w ramach działania 3.1 Rozwój drogowej i lotniczej sieci TEN-T  oś priorytetowa</w:t>
      </w:r>
      <w:r w:rsidRPr="00ED16C3">
        <w:t xml:space="preserve"> III: </w:t>
      </w:r>
      <w:r w:rsidRPr="00ED16C3">
        <w:rPr>
          <w:bCs/>
        </w:rPr>
        <w:t>Rozwój Sieci Drogowej TEN-T i Transportu Multimodalnego Programu Operacyjnego Infrastruktura i Środowisko 2014 – 2020</w:t>
      </w:r>
    </w:p>
    <w:p w:rsidR="00ED16C3" w:rsidRPr="00ED16C3" w:rsidRDefault="00ED16C3" w:rsidP="00ED16C3">
      <w:pPr>
        <w:jc w:val="both"/>
        <w:rPr>
          <w:bCs/>
        </w:rPr>
      </w:pPr>
      <w:r w:rsidRPr="00ED16C3">
        <w:rPr>
          <w:bCs/>
        </w:rPr>
        <w:t xml:space="preserve">Głównym celem projektu </w:t>
      </w:r>
      <w:r w:rsidR="00EA719F">
        <w:rPr>
          <w:bCs/>
        </w:rPr>
        <w:t>było</w:t>
      </w:r>
      <w:r w:rsidRPr="00ED16C3">
        <w:rPr>
          <w:bCs/>
        </w:rPr>
        <w:t xml:space="preserve"> kształtowanie odpowiednich zachowań społecznych oraz zmiana postaw uczestników ruchu drogowego. </w:t>
      </w:r>
      <w:r w:rsidR="00EA719F">
        <w:rPr>
          <w:bCs/>
        </w:rPr>
        <w:t>Podejmowane działania</w:t>
      </w:r>
      <w:r w:rsidRPr="00ED16C3">
        <w:rPr>
          <w:bCs/>
        </w:rPr>
        <w:t xml:space="preserve"> doż</w:t>
      </w:r>
      <w:r w:rsidR="00EA719F">
        <w:rPr>
          <w:bCs/>
        </w:rPr>
        <w:t>yły</w:t>
      </w:r>
      <w:r w:rsidRPr="00ED16C3">
        <w:rPr>
          <w:bCs/>
        </w:rPr>
        <w:t xml:space="preserve"> do wywołania refleksji, zainteresowania ale przede wszystkim do uświadomienia uczestników ruchu drogowego jak istotne jest przestrzeganie obowiązujących przepisów ruchu drogowego. Zmian</w:t>
      </w:r>
      <w:r w:rsidR="00EA719F">
        <w:rPr>
          <w:bCs/>
        </w:rPr>
        <w:t>a</w:t>
      </w:r>
      <w:r w:rsidRPr="00ED16C3">
        <w:rPr>
          <w:bCs/>
        </w:rPr>
        <w:t xml:space="preserve"> postaw miała swoje odzwierciedlenie w zmniejszeniu liczby ofiar śmiertelnych i rannych w wypadkach drogowych spowodowanych przede wszystkim niedostosowaniem prędkości do warunków panujących </w:t>
      </w:r>
      <w:r w:rsidR="006E5852">
        <w:rPr>
          <w:bCs/>
        </w:rPr>
        <w:br/>
      </w:r>
      <w:r w:rsidRPr="00ED16C3">
        <w:rPr>
          <w:bCs/>
        </w:rPr>
        <w:t xml:space="preserve">na drodze i nieustąpieniem pierwszeństwa przejazdu. </w:t>
      </w:r>
    </w:p>
    <w:p w:rsidR="00ED16C3" w:rsidRPr="00EA719F" w:rsidRDefault="00ED16C3" w:rsidP="00ED16C3">
      <w:pPr>
        <w:jc w:val="both"/>
        <w:rPr>
          <w:bCs/>
        </w:rPr>
      </w:pPr>
      <w:r w:rsidRPr="00EA719F">
        <w:rPr>
          <w:bCs/>
        </w:rPr>
        <w:t>W ramach projektu dotyczące</w:t>
      </w:r>
      <w:r w:rsidR="00EA719F">
        <w:rPr>
          <w:bCs/>
        </w:rPr>
        <w:t>go</w:t>
      </w:r>
      <w:r w:rsidRPr="00EA719F">
        <w:rPr>
          <w:bCs/>
        </w:rPr>
        <w:t xml:space="preserve"> respektowania obowiązujących przepisów ruchu drogowego,</w:t>
      </w:r>
      <w:r w:rsidRPr="00EA719F" w:rsidDel="00F14308">
        <w:rPr>
          <w:bCs/>
        </w:rPr>
        <w:t xml:space="preserve"> </w:t>
      </w:r>
      <w:r w:rsidR="00EA719F">
        <w:rPr>
          <w:bCs/>
        </w:rPr>
        <w:t>zostały</w:t>
      </w:r>
      <w:r w:rsidRPr="00EA719F">
        <w:rPr>
          <w:bCs/>
        </w:rPr>
        <w:t xml:space="preserve"> przeprowadzone dwa główne zadania wraz z działaniami edukacyjna – promocyjnymi. Zadania </w:t>
      </w:r>
      <w:r w:rsidR="006E5852">
        <w:rPr>
          <w:bCs/>
        </w:rPr>
        <w:br/>
      </w:r>
      <w:r w:rsidRPr="00EA719F">
        <w:rPr>
          <w:bCs/>
        </w:rPr>
        <w:t>te polegały na:</w:t>
      </w:r>
    </w:p>
    <w:p w:rsidR="006E5852" w:rsidRDefault="006E5852" w:rsidP="006E5852">
      <w:pPr>
        <w:pStyle w:val="Akapitzlist"/>
        <w:numPr>
          <w:ilvl w:val="0"/>
          <w:numId w:val="3"/>
        </w:numPr>
        <w:ind w:left="284"/>
        <w:jc w:val="both"/>
        <w:rPr>
          <w:bCs/>
        </w:rPr>
      </w:pPr>
      <w:r>
        <w:rPr>
          <w:bCs/>
        </w:rPr>
        <w:t>R</w:t>
      </w:r>
      <w:r w:rsidR="00ED16C3" w:rsidRPr="006E5852">
        <w:rPr>
          <w:bCs/>
        </w:rPr>
        <w:t>ealizacji kampanii społecznej dotyczącej nadmiernej prędkości,</w:t>
      </w:r>
      <w:r w:rsidR="008F6ADA" w:rsidRPr="006E5852">
        <w:rPr>
          <w:bCs/>
        </w:rPr>
        <w:t xml:space="preserve"> która obejmowała zakup spotów reklamowych oraz czasu antenowego w ogólnopolskiej telewizji i radiu. </w:t>
      </w:r>
    </w:p>
    <w:p w:rsidR="006E5852" w:rsidRDefault="008F6ADA" w:rsidP="006E5852">
      <w:pPr>
        <w:pStyle w:val="Akapitzlist"/>
        <w:ind w:left="284"/>
        <w:jc w:val="both"/>
        <w:rPr>
          <w:b/>
          <w:bCs/>
        </w:rPr>
      </w:pPr>
      <w:r w:rsidRPr="006E5852">
        <w:rPr>
          <w:b/>
          <w:bCs/>
        </w:rPr>
        <w:t xml:space="preserve">Łączna wartość kampanii wyniosła </w:t>
      </w:r>
      <w:r w:rsidR="00BA47B8" w:rsidRPr="006E5852">
        <w:rPr>
          <w:b/>
          <w:bCs/>
        </w:rPr>
        <w:t>10 227 333,77</w:t>
      </w:r>
      <w:r w:rsidRPr="006E5852">
        <w:rPr>
          <w:b/>
          <w:bCs/>
        </w:rPr>
        <w:t xml:space="preserve"> zł.</w:t>
      </w:r>
    </w:p>
    <w:p w:rsidR="00ED16C3" w:rsidRPr="006E5852" w:rsidRDefault="008F6ADA" w:rsidP="006E5852">
      <w:pPr>
        <w:pStyle w:val="Akapitzlist"/>
        <w:ind w:left="284"/>
        <w:jc w:val="both"/>
        <w:rPr>
          <w:bCs/>
        </w:rPr>
      </w:pPr>
      <w:r w:rsidRPr="006E5852">
        <w:rPr>
          <w:b/>
          <w:bCs/>
        </w:rPr>
        <w:t xml:space="preserve">  </w:t>
      </w:r>
    </w:p>
    <w:p w:rsidR="006E5852" w:rsidRDefault="006E5852" w:rsidP="006E5852">
      <w:pPr>
        <w:pStyle w:val="Akapitzlist"/>
        <w:numPr>
          <w:ilvl w:val="0"/>
          <w:numId w:val="3"/>
        </w:numPr>
        <w:ind w:left="284"/>
        <w:jc w:val="both"/>
        <w:rPr>
          <w:bCs/>
        </w:rPr>
      </w:pPr>
      <w:r>
        <w:rPr>
          <w:bCs/>
        </w:rPr>
        <w:t>R</w:t>
      </w:r>
      <w:r w:rsidR="00ED16C3" w:rsidRPr="006E5852">
        <w:rPr>
          <w:bCs/>
        </w:rPr>
        <w:t>ealizacji kampanii społecznej dotyczącej konieczności udzielenie pierwsze</w:t>
      </w:r>
      <w:r w:rsidR="008F6ADA" w:rsidRPr="006E5852">
        <w:rPr>
          <w:bCs/>
        </w:rPr>
        <w:t xml:space="preserve">ństwa przejazdu przez kierowców, która obejmowała zakup spotów reklamowych oraz czasu antenowego </w:t>
      </w:r>
      <w:r>
        <w:rPr>
          <w:bCs/>
        </w:rPr>
        <w:br/>
      </w:r>
      <w:r w:rsidR="008F6ADA" w:rsidRPr="006E5852">
        <w:rPr>
          <w:bCs/>
        </w:rPr>
        <w:t xml:space="preserve">w ogólnopolskiej telewizji i radiu. </w:t>
      </w:r>
    </w:p>
    <w:p w:rsidR="00ED16C3" w:rsidRPr="006E5852" w:rsidRDefault="008F6ADA" w:rsidP="006E5852">
      <w:pPr>
        <w:pStyle w:val="Akapitzlist"/>
        <w:numPr>
          <w:ilvl w:val="0"/>
          <w:numId w:val="3"/>
        </w:numPr>
        <w:ind w:left="284"/>
        <w:jc w:val="both"/>
        <w:rPr>
          <w:bCs/>
        </w:rPr>
      </w:pPr>
      <w:r w:rsidRPr="006E5852">
        <w:rPr>
          <w:b/>
          <w:bCs/>
        </w:rPr>
        <w:t>Łączna wartość kampanii wyniosła</w:t>
      </w:r>
      <w:r w:rsidR="00BA47B8" w:rsidRPr="006E5852">
        <w:rPr>
          <w:b/>
          <w:bCs/>
        </w:rPr>
        <w:t xml:space="preserve"> 10 276 470,48 zł</w:t>
      </w:r>
      <w:r w:rsidR="00BA47B8" w:rsidRPr="006E5852">
        <w:rPr>
          <w:bCs/>
        </w:rPr>
        <w:t>.</w:t>
      </w:r>
    </w:p>
    <w:p w:rsidR="00ED16C3" w:rsidRDefault="00BA47B8" w:rsidP="00ED16C3">
      <w:pPr>
        <w:jc w:val="both"/>
        <w:rPr>
          <w:bCs/>
        </w:rPr>
      </w:pPr>
      <w:r w:rsidRPr="00BA47B8">
        <w:rPr>
          <w:bCs/>
        </w:rPr>
        <w:t xml:space="preserve">W celu zwiększenia efektywności dotarcia </w:t>
      </w:r>
      <w:r w:rsidRPr="006E5852">
        <w:rPr>
          <w:bCs/>
        </w:rPr>
        <w:t xml:space="preserve">kampanii do grupy docelowej (uczestników ruchu drogowego, w szczególności osób w wieku 18-59 lat) </w:t>
      </w:r>
      <w:r w:rsidR="006E5852" w:rsidRPr="006E5852">
        <w:rPr>
          <w:bCs/>
        </w:rPr>
        <w:t xml:space="preserve">obie kampanie społeczne </w:t>
      </w:r>
      <w:r w:rsidRPr="006E5852">
        <w:rPr>
          <w:bCs/>
        </w:rPr>
        <w:t xml:space="preserve">objęto działaniami informacyjno – promocyjnymi, które </w:t>
      </w:r>
      <w:r w:rsidR="006E5852">
        <w:rPr>
          <w:bCs/>
        </w:rPr>
        <w:t>obejmowały następujące elementy</w:t>
      </w:r>
      <w:r>
        <w:rPr>
          <w:bCs/>
        </w:rPr>
        <w:t>:</w:t>
      </w:r>
    </w:p>
    <w:p w:rsidR="006E5852" w:rsidRDefault="00A61D6F" w:rsidP="00ED16C3">
      <w:pPr>
        <w:pStyle w:val="Akapitzlist"/>
        <w:numPr>
          <w:ilvl w:val="0"/>
          <w:numId w:val="4"/>
        </w:numPr>
        <w:jc w:val="both"/>
        <w:rPr>
          <w:bCs/>
        </w:rPr>
      </w:pPr>
      <w:r w:rsidRPr="006E5852">
        <w:rPr>
          <w:bCs/>
        </w:rPr>
        <w:t>Zaplanowanie, przygotowan</w:t>
      </w:r>
      <w:r w:rsidR="006E5852" w:rsidRPr="006E5852">
        <w:rPr>
          <w:bCs/>
        </w:rPr>
        <w:t>ie i przeprowadzenie/organizacje</w:t>
      </w:r>
      <w:r w:rsidRPr="006E5852">
        <w:rPr>
          <w:bCs/>
        </w:rPr>
        <w:t xml:space="preserve"> interaktywnej konferencji on</w:t>
      </w:r>
      <w:r w:rsidR="006E5852">
        <w:rPr>
          <w:bCs/>
        </w:rPr>
        <w:t>-line, podczas której została zaprezentowana</w:t>
      </w:r>
      <w:r w:rsidRPr="006E5852">
        <w:rPr>
          <w:bCs/>
        </w:rPr>
        <w:t xml:space="preserve"> kampani</w:t>
      </w:r>
      <w:r w:rsidR="006E5852">
        <w:rPr>
          <w:bCs/>
        </w:rPr>
        <w:t>a</w:t>
      </w:r>
      <w:r w:rsidRPr="006E5852">
        <w:rPr>
          <w:bCs/>
        </w:rPr>
        <w:t xml:space="preserve"> społeczn</w:t>
      </w:r>
      <w:r w:rsidR="006E5852">
        <w:rPr>
          <w:bCs/>
        </w:rPr>
        <w:t>a.</w:t>
      </w:r>
    </w:p>
    <w:p w:rsidR="006E5852" w:rsidRPr="006E5852" w:rsidRDefault="00A61D6F" w:rsidP="00ED16C3">
      <w:pPr>
        <w:pStyle w:val="Akapitzlist"/>
        <w:numPr>
          <w:ilvl w:val="0"/>
          <w:numId w:val="4"/>
        </w:numPr>
        <w:jc w:val="both"/>
        <w:rPr>
          <w:bCs/>
        </w:rPr>
      </w:pPr>
      <w:r w:rsidRPr="006E5852">
        <w:rPr>
          <w:bCs/>
        </w:rPr>
        <w:t>Zapewnienie emisji informacji o starcie kampanii społec</w:t>
      </w:r>
      <w:r w:rsidR="006E5852">
        <w:rPr>
          <w:bCs/>
        </w:rPr>
        <w:t>znej</w:t>
      </w:r>
      <w:r w:rsidRPr="006E5852">
        <w:rPr>
          <w:bCs/>
        </w:rPr>
        <w:t xml:space="preserve"> w głównym wydaniu serwisu informacyjnego/audycji/magazyn telewizyjnego itp., w przynajmniej dwóch ogólnopolskich stacjach telewizyjnych</w:t>
      </w:r>
      <w:r w:rsidR="006E5852" w:rsidRPr="006E5852">
        <w:rPr>
          <w:bCs/>
        </w:rPr>
        <w:t>.</w:t>
      </w:r>
    </w:p>
    <w:p w:rsidR="006E5852" w:rsidRDefault="00A61D6F" w:rsidP="00A61D6F">
      <w:pPr>
        <w:pStyle w:val="Akapitzlist"/>
        <w:numPr>
          <w:ilvl w:val="0"/>
          <w:numId w:val="4"/>
        </w:numPr>
        <w:jc w:val="both"/>
        <w:rPr>
          <w:bCs/>
        </w:rPr>
      </w:pPr>
      <w:r w:rsidRPr="006E5852">
        <w:rPr>
          <w:bCs/>
        </w:rPr>
        <w:t>Zaplanowanie, przygotowanie i przeprowadzenie działań mających na celu promocję kampanii społecznej w Internecie</w:t>
      </w:r>
      <w:r w:rsidR="006E5852">
        <w:rPr>
          <w:bCs/>
        </w:rPr>
        <w:t>.</w:t>
      </w:r>
    </w:p>
    <w:p w:rsidR="006E5852" w:rsidRDefault="00A61D6F" w:rsidP="00A61D6F">
      <w:pPr>
        <w:pStyle w:val="Akapitzlist"/>
        <w:numPr>
          <w:ilvl w:val="0"/>
          <w:numId w:val="4"/>
        </w:numPr>
        <w:jc w:val="both"/>
        <w:rPr>
          <w:bCs/>
        </w:rPr>
      </w:pPr>
      <w:r w:rsidRPr="006E5852">
        <w:rPr>
          <w:bCs/>
        </w:rPr>
        <w:t>Zaplanowanie, przygotowanie i przeprowadzenie kampanii promocyjnej z wykorzystaniem zewnętrznych nośników reklamowych o powierzchni 12m</w:t>
      </w:r>
      <w:r w:rsidRPr="006E5852">
        <w:rPr>
          <w:bCs/>
          <w:vertAlign w:val="superscript"/>
        </w:rPr>
        <w:t>2</w:t>
      </w:r>
      <w:r w:rsidRPr="006E5852">
        <w:rPr>
          <w:bCs/>
        </w:rPr>
        <w:t xml:space="preserve"> (</w:t>
      </w:r>
      <w:proofErr w:type="spellStart"/>
      <w:r w:rsidRPr="006E5852">
        <w:rPr>
          <w:bCs/>
        </w:rPr>
        <w:t>outdoor</w:t>
      </w:r>
      <w:proofErr w:type="spellEnd"/>
      <w:r w:rsidRPr="006E5852">
        <w:rPr>
          <w:bCs/>
        </w:rPr>
        <w:t>) we ws</w:t>
      </w:r>
      <w:r w:rsidR="006E5852">
        <w:rPr>
          <w:bCs/>
        </w:rPr>
        <w:t>zystkich województwach w Polsce.</w:t>
      </w:r>
      <w:r w:rsidRPr="006E5852">
        <w:rPr>
          <w:bCs/>
        </w:rPr>
        <w:t xml:space="preserve"> </w:t>
      </w:r>
    </w:p>
    <w:p w:rsidR="00A61D6F" w:rsidRPr="006E5852" w:rsidRDefault="00A61D6F" w:rsidP="00A61D6F">
      <w:pPr>
        <w:pStyle w:val="Akapitzlist"/>
        <w:numPr>
          <w:ilvl w:val="0"/>
          <w:numId w:val="4"/>
        </w:numPr>
        <w:jc w:val="both"/>
        <w:rPr>
          <w:bCs/>
        </w:rPr>
      </w:pPr>
      <w:r w:rsidRPr="006E5852">
        <w:rPr>
          <w:bCs/>
        </w:rPr>
        <w:lastRenderedPageBreak/>
        <w:t>Zakup czasu emisyjnego w kinach we wszystkich województwach w Pol</w:t>
      </w:r>
      <w:r w:rsidR="006E5852">
        <w:rPr>
          <w:bCs/>
        </w:rPr>
        <w:t>sce (tzw. stolicach województw).</w:t>
      </w:r>
    </w:p>
    <w:p w:rsidR="00A61D6F" w:rsidRPr="006E5852" w:rsidRDefault="00A61D6F" w:rsidP="00A61D6F">
      <w:pPr>
        <w:jc w:val="both"/>
        <w:rPr>
          <w:b/>
          <w:bCs/>
        </w:rPr>
      </w:pPr>
      <w:r w:rsidRPr="00A61D6F">
        <w:rPr>
          <w:b/>
          <w:bCs/>
        </w:rPr>
        <w:t xml:space="preserve">Łączna wartość działań informacyjno- promocyjnych wyniosła 1 189 213,20 zł. </w:t>
      </w:r>
    </w:p>
    <w:p w:rsidR="00ED16C3" w:rsidRPr="006E5852" w:rsidRDefault="001B2BCC" w:rsidP="00ED16C3">
      <w:pPr>
        <w:jc w:val="both"/>
        <w:rPr>
          <w:bCs/>
        </w:rPr>
      </w:pPr>
      <w:r w:rsidRPr="006E5852">
        <w:rPr>
          <w:bCs/>
        </w:rPr>
        <w:t xml:space="preserve">Spoty kampanii społecznych do obejrzenia poniżej: </w:t>
      </w:r>
    </w:p>
    <w:p w:rsidR="00A22CFF" w:rsidRDefault="00A22CFF"/>
    <w:sectPr w:rsidR="00A2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C4" w:rsidRDefault="006F61C4" w:rsidP="00ED16C3">
      <w:pPr>
        <w:spacing w:after="0" w:line="240" w:lineRule="auto"/>
      </w:pPr>
      <w:r>
        <w:separator/>
      </w:r>
    </w:p>
  </w:endnote>
  <w:endnote w:type="continuationSeparator" w:id="0">
    <w:p w:rsidR="006F61C4" w:rsidRDefault="006F61C4" w:rsidP="00ED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C4" w:rsidRDefault="006F61C4" w:rsidP="00ED16C3">
      <w:pPr>
        <w:spacing w:after="0" w:line="240" w:lineRule="auto"/>
      </w:pPr>
      <w:r>
        <w:separator/>
      </w:r>
    </w:p>
  </w:footnote>
  <w:footnote w:type="continuationSeparator" w:id="0">
    <w:p w:rsidR="006F61C4" w:rsidRDefault="006F61C4" w:rsidP="00ED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25"/>
    <w:multiLevelType w:val="hybridMultilevel"/>
    <w:tmpl w:val="019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6B97"/>
    <w:multiLevelType w:val="hybridMultilevel"/>
    <w:tmpl w:val="AE9E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17DC1"/>
    <w:multiLevelType w:val="hybridMultilevel"/>
    <w:tmpl w:val="6C58EA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9906E16"/>
    <w:multiLevelType w:val="hybridMultilevel"/>
    <w:tmpl w:val="A5ECE87E"/>
    <w:lvl w:ilvl="0" w:tplc="E0A0F3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3"/>
    <w:rsid w:val="001B2BCC"/>
    <w:rsid w:val="006E5852"/>
    <w:rsid w:val="006F61C4"/>
    <w:rsid w:val="008817A1"/>
    <w:rsid w:val="008F6ADA"/>
    <w:rsid w:val="00A22CFF"/>
    <w:rsid w:val="00A61D6F"/>
    <w:rsid w:val="00BA47B8"/>
    <w:rsid w:val="00E17E48"/>
    <w:rsid w:val="00EA719F"/>
    <w:rsid w:val="00ED16C3"/>
    <w:rsid w:val="00F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E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D16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D16C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D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D6F"/>
  </w:style>
  <w:style w:type="paragraph" w:styleId="Akapitzlist">
    <w:name w:val="List Paragraph"/>
    <w:basedOn w:val="Normalny"/>
    <w:uiPriority w:val="34"/>
    <w:qFormat/>
    <w:rsid w:val="006E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E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D16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D16C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D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D6F"/>
  </w:style>
  <w:style w:type="paragraph" w:styleId="Akapitzlist">
    <w:name w:val="List Paragraph"/>
    <w:basedOn w:val="Normalny"/>
    <w:uiPriority w:val="34"/>
    <w:qFormat/>
    <w:rsid w:val="006E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 Monika</dc:creator>
  <cp:lastModifiedBy>Kowalewska Monika</cp:lastModifiedBy>
  <cp:revision>2</cp:revision>
  <dcterms:created xsi:type="dcterms:W3CDTF">2021-03-04T10:44:00Z</dcterms:created>
  <dcterms:modified xsi:type="dcterms:W3CDTF">2021-03-04T10:44:00Z</dcterms:modified>
</cp:coreProperties>
</file>