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C3" w:rsidRPr="00ED16C3" w:rsidRDefault="00ED16C3" w:rsidP="00ED16C3">
      <w:pPr>
        <w:jc w:val="both"/>
        <w:rPr>
          <w:bCs/>
        </w:rPr>
      </w:pPr>
      <w:r w:rsidRPr="00ED16C3">
        <w:rPr>
          <w:bCs/>
          <w:noProof/>
          <w:lang w:eastAsia="pl-PL"/>
        </w:rPr>
        <w:drawing>
          <wp:inline distT="0" distB="0" distL="0" distR="0">
            <wp:extent cx="1362075" cy="5238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57" t="7957" r="32658" b="64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6C3">
        <w:rPr>
          <w:bCs/>
        </w:rPr>
        <w:t xml:space="preserve"> </w:t>
      </w:r>
      <w:r w:rsidRPr="00ED16C3">
        <w:rPr>
          <w:bCs/>
          <w:noProof/>
          <w:lang w:eastAsia="pl-PL"/>
        </w:rPr>
        <w:drawing>
          <wp:inline distT="0" distB="0" distL="0" distR="0">
            <wp:extent cx="1362075" cy="4667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6" t="40584" r="26532" b="36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6C3">
        <w:rPr>
          <w:bCs/>
        </w:rPr>
        <w:t xml:space="preserve"> </w:t>
      </w:r>
      <w:r w:rsidRPr="00ED16C3">
        <w:rPr>
          <w:bCs/>
          <w:noProof/>
          <w:lang w:eastAsia="pl-PL"/>
        </w:rPr>
        <w:drawing>
          <wp:inline distT="0" distB="0" distL="0" distR="0">
            <wp:extent cx="371475" cy="3905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6C3">
        <w:rPr>
          <w:bCs/>
        </w:rPr>
        <w:t xml:space="preserve"> </w:t>
      </w:r>
      <w:r w:rsidRPr="00ED16C3">
        <w:rPr>
          <w:bCs/>
          <w:noProof/>
          <w:lang w:eastAsia="pl-PL"/>
        </w:rPr>
        <w:drawing>
          <wp:inline distT="0" distB="0" distL="0" distR="0">
            <wp:extent cx="685800" cy="314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72" t="42970" r="36205" b="5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6C3">
        <w:rPr>
          <w:bCs/>
        </w:rPr>
        <w:t xml:space="preserve">  </w:t>
      </w:r>
      <w:r w:rsidRPr="00ED16C3">
        <w:rPr>
          <w:bCs/>
          <w:noProof/>
          <w:lang w:eastAsia="pl-PL"/>
        </w:rPr>
        <w:drawing>
          <wp:inline distT="0" distB="0" distL="0" distR="0">
            <wp:extent cx="158115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6" t="69496" r="26532" b="9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C3" w:rsidRPr="00ED16C3" w:rsidRDefault="00ED16C3" w:rsidP="00ED16C3">
      <w:pPr>
        <w:jc w:val="both"/>
        <w:rPr>
          <w:bCs/>
        </w:rPr>
      </w:pPr>
    </w:p>
    <w:p w:rsidR="00ED16C3" w:rsidRPr="00ED16C3" w:rsidRDefault="00ED16C3" w:rsidP="00ED16C3">
      <w:pPr>
        <w:jc w:val="both"/>
        <w:rPr>
          <w:bCs/>
        </w:rPr>
      </w:pPr>
      <w:r w:rsidRPr="00ED16C3">
        <w:rPr>
          <w:bCs/>
        </w:rPr>
        <w:t xml:space="preserve">Projekt pn. </w:t>
      </w:r>
      <w:r w:rsidR="00510374">
        <w:rPr>
          <w:bCs/>
        </w:rPr>
        <w:t>„</w:t>
      </w:r>
      <w:r w:rsidR="00510374" w:rsidRPr="00510374">
        <w:rPr>
          <w:b/>
          <w:bCs/>
          <w:i/>
        </w:rPr>
        <w:t>Działania edukacyjne na rzecz poprawy bezpieczeństwa pieszych i ograniczenia nadmiernej prędkości pojazdów</w:t>
      </w:r>
      <w:r w:rsidR="00510374">
        <w:rPr>
          <w:b/>
          <w:bCs/>
          <w:i/>
        </w:rPr>
        <w:t>”</w:t>
      </w:r>
      <w:r w:rsidR="00510374" w:rsidRPr="00510374">
        <w:rPr>
          <w:bCs/>
        </w:rPr>
        <w:t xml:space="preserve"> </w:t>
      </w:r>
      <w:r w:rsidRPr="00ED16C3">
        <w:rPr>
          <w:bCs/>
        </w:rPr>
        <w:t>w ramach działania 3.1 Rozwój drogowej i lotniczej sieci TEN-T  oś priorytetowa</w:t>
      </w:r>
      <w:r w:rsidRPr="00ED16C3">
        <w:t xml:space="preserve"> III: </w:t>
      </w:r>
      <w:r w:rsidRPr="00ED16C3">
        <w:rPr>
          <w:bCs/>
        </w:rPr>
        <w:t>Rozwój Sieci Drogowej TEN-T i Transportu Multimodalnego Programu Operacyjnego Infrastruktura i Środowisko 2014 – 2020</w:t>
      </w:r>
    </w:p>
    <w:p w:rsidR="006C1239" w:rsidRDefault="00510374" w:rsidP="00ED16C3">
      <w:pPr>
        <w:jc w:val="both"/>
        <w:rPr>
          <w:bCs/>
        </w:rPr>
      </w:pPr>
      <w:r w:rsidRPr="00510374">
        <w:rPr>
          <w:bCs/>
        </w:rPr>
        <w:t xml:space="preserve">Celem projektu jest osiągnięcie poprawy poziomu bezpieczeństwa ruchu drogowego. </w:t>
      </w:r>
      <w:r>
        <w:rPr>
          <w:bCs/>
        </w:rPr>
        <w:t>Podejmowane działania</w:t>
      </w:r>
      <w:r w:rsidRPr="00ED16C3">
        <w:rPr>
          <w:bCs/>
        </w:rPr>
        <w:t xml:space="preserve"> doż</w:t>
      </w:r>
      <w:r>
        <w:rPr>
          <w:bCs/>
        </w:rPr>
        <w:t>yły</w:t>
      </w:r>
      <w:r w:rsidRPr="00ED16C3">
        <w:rPr>
          <w:bCs/>
        </w:rPr>
        <w:t xml:space="preserve"> do wywołania refleksji, zainteresowania ale przede wszystkim do uświadomienia uczestników ruchu drogowego jak istotne jest przestrzeganie obowiązujących przepisów ruchu drogowego. Zmian</w:t>
      </w:r>
      <w:r>
        <w:rPr>
          <w:bCs/>
        </w:rPr>
        <w:t>a</w:t>
      </w:r>
      <w:r w:rsidRPr="00ED16C3">
        <w:rPr>
          <w:bCs/>
        </w:rPr>
        <w:t xml:space="preserve"> postaw miała swoje odzwierciedlenie w zmniejszeniu liczby ofiar śmiertelnych i rannych w wypadkach drogowych spowodowanych przede wszystkim </w:t>
      </w:r>
      <w:r>
        <w:rPr>
          <w:bCs/>
        </w:rPr>
        <w:t xml:space="preserve">nadmierną </w:t>
      </w:r>
      <w:r w:rsidRPr="00ED16C3">
        <w:rPr>
          <w:bCs/>
        </w:rPr>
        <w:t>prędkośc</w:t>
      </w:r>
      <w:r>
        <w:rPr>
          <w:bCs/>
        </w:rPr>
        <w:t>ią</w:t>
      </w:r>
      <w:r w:rsidRPr="00ED16C3">
        <w:rPr>
          <w:bCs/>
        </w:rPr>
        <w:t xml:space="preserve"> </w:t>
      </w:r>
      <w:r>
        <w:rPr>
          <w:bCs/>
        </w:rPr>
        <w:t>jak również ofiar wypadków spowodowanych przez pieszych.</w:t>
      </w:r>
      <w:r w:rsidRPr="00510374">
        <w:rPr>
          <w:bCs/>
        </w:rPr>
        <w:t xml:space="preserve"> </w:t>
      </w:r>
      <w:r>
        <w:rPr>
          <w:bCs/>
        </w:rPr>
        <w:t>K</w:t>
      </w:r>
      <w:r w:rsidRPr="00510374">
        <w:rPr>
          <w:bCs/>
        </w:rPr>
        <w:t xml:space="preserve">ampanie </w:t>
      </w:r>
      <w:r>
        <w:rPr>
          <w:bCs/>
        </w:rPr>
        <w:t xml:space="preserve">realizowane w ramach projektu </w:t>
      </w:r>
      <w:r w:rsidRPr="00510374">
        <w:rPr>
          <w:bCs/>
        </w:rPr>
        <w:t xml:space="preserve">maja wymiar edukacyjno – informacyjny, co będzie miało wpływ na zmianę zachowań wszystkich uczestników ruchu drogowego. Z analizy statystycznej oraz na podstawie oceny wzajemnych relacji „pieszy-kierowca”, wynika, że niezbędna stała się realizacja kolejnej kampanii społecznej mającej na celu uświadomienie wszystkich użytkowników dróg o prawach i obowiązkach pieszego, w tym prawidłowego zachowania się przy przekraczaniu przejść dla pieszych oraz konsekwencjach przekraczania nadmiernej prędkości w obszarze zabudowanym. </w:t>
      </w:r>
      <w:r w:rsidR="006C1239">
        <w:rPr>
          <w:bCs/>
        </w:rPr>
        <w:t xml:space="preserve"> </w:t>
      </w:r>
    </w:p>
    <w:p w:rsidR="00510374" w:rsidRPr="006C1239" w:rsidRDefault="006C1239" w:rsidP="00ED16C3">
      <w:pPr>
        <w:jc w:val="both"/>
        <w:rPr>
          <w:b/>
          <w:bCs/>
        </w:rPr>
      </w:pPr>
      <w:bookmarkStart w:id="0" w:name="_GoBack"/>
      <w:bookmarkEnd w:id="0"/>
      <w:r w:rsidRPr="006C1239">
        <w:rPr>
          <w:b/>
          <w:bCs/>
        </w:rPr>
        <w:t xml:space="preserve">Wartość projektu wynosi 30 550 000 zł. </w:t>
      </w:r>
    </w:p>
    <w:p w:rsidR="00ED16C3" w:rsidRPr="00EA719F" w:rsidRDefault="00ED16C3" w:rsidP="00ED16C3">
      <w:pPr>
        <w:jc w:val="both"/>
        <w:rPr>
          <w:bCs/>
        </w:rPr>
      </w:pPr>
      <w:r w:rsidRPr="00EA719F">
        <w:rPr>
          <w:bCs/>
        </w:rPr>
        <w:t>W ramach projektu dotyczące</w:t>
      </w:r>
      <w:r w:rsidR="00EA719F">
        <w:rPr>
          <w:bCs/>
        </w:rPr>
        <w:t>go</w:t>
      </w:r>
      <w:r w:rsidRPr="00EA719F">
        <w:rPr>
          <w:bCs/>
        </w:rPr>
        <w:t xml:space="preserve"> </w:t>
      </w:r>
      <w:r w:rsidR="00510374">
        <w:rPr>
          <w:bCs/>
        </w:rPr>
        <w:t xml:space="preserve">działań edukacyjnych na rzecz poprawy </w:t>
      </w:r>
      <w:proofErr w:type="spellStart"/>
      <w:r w:rsidR="00510374">
        <w:rPr>
          <w:bCs/>
        </w:rPr>
        <w:t>brd</w:t>
      </w:r>
      <w:proofErr w:type="spellEnd"/>
      <w:r w:rsidRPr="00EA719F">
        <w:rPr>
          <w:bCs/>
        </w:rPr>
        <w:t>,</w:t>
      </w:r>
      <w:r w:rsidRPr="00EA719F" w:rsidDel="00F14308">
        <w:rPr>
          <w:bCs/>
        </w:rPr>
        <w:t xml:space="preserve"> </w:t>
      </w:r>
      <w:r w:rsidR="00EA719F">
        <w:rPr>
          <w:bCs/>
        </w:rPr>
        <w:t>zostały</w:t>
      </w:r>
      <w:r w:rsidRPr="00EA719F">
        <w:rPr>
          <w:bCs/>
        </w:rPr>
        <w:t xml:space="preserve"> przeprowadzone </w:t>
      </w:r>
      <w:r w:rsidR="0037709B">
        <w:rPr>
          <w:bCs/>
        </w:rPr>
        <w:t>dwa</w:t>
      </w:r>
      <w:r w:rsidRPr="00EA719F">
        <w:rPr>
          <w:bCs/>
        </w:rPr>
        <w:t xml:space="preserve"> główne zadania wraz z działaniami edukacyjna – promocyjnymi. Zadania </w:t>
      </w:r>
      <w:r w:rsidR="006E5852">
        <w:rPr>
          <w:bCs/>
        </w:rPr>
        <w:br/>
      </w:r>
      <w:r w:rsidRPr="00EA719F">
        <w:rPr>
          <w:bCs/>
        </w:rPr>
        <w:t>te polega</w:t>
      </w:r>
      <w:r w:rsidR="0037709B">
        <w:rPr>
          <w:bCs/>
        </w:rPr>
        <w:t>ją</w:t>
      </w:r>
      <w:r w:rsidRPr="00EA719F">
        <w:rPr>
          <w:bCs/>
        </w:rPr>
        <w:t xml:space="preserve"> na:</w:t>
      </w:r>
    </w:p>
    <w:p w:rsidR="006E5852" w:rsidRDefault="006E5852" w:rsidP="0037709B">
      <w:pPr>
        <w:pStyle w:val="Akapitzlist"/>
        <w:numPr>
          <w:ilvl w:val="0"/>
          <w:numId w:val="3"/>
        </w:numPr>
        <w:ind w:left="284" w:hanging="284"/>
        <w:jc w:val="both"/>
        <w:rPr>
          <w:bCs/>
        </w:rPr>
      </w:pPr>
      <w:r>
        <w:rPr>
          <w:bCs/>
        </w:rPr>
        <w:t>R</w:t>
      </w:r>
      <w:r w:rsidR="00ED16C3" w:rsidRPr="006E5852">
        <w:rPr>
          <w:bCs/>
        </w:rPr>
        <w:t xml:space="preserve">ealizacji kampanii społecznej dotyczącej </w:t>
      </w:r>
      <w:r w:rsidR="0037709B" w:rsidRPr="0037709B">
        <w:rPr>
          <w:bCs/>
        </w:rPr>
        <w:t xml:space="preserve">ochrony pieszych w obszarze przejść dla pieszych i </w:t>
      </w:r>
      <w:r w:rsidR="0037709B">
        <w:rPr>
          <w:bCs/>
        </w:rPr>
        <w:t xml:space="preserve">            </w:t>
      </w:r>
      <w:r w:rsidR="0037709B">
        <w:rPr>
          <w:bCs/>
        </w:rPr>
        <w:br/>
      </w:r>
      <w:r w:rsidR="0037709B" w:rsidRPr="0037709B">
        <w:rPr>
          <w:bCs/>
        </w:rPr>
        <w:t>zachowania szczególnej ostrożności przez pieszych przy wchodzeniu na przejście dla pieszyc</w:t>
      </w:r>
      <w:r w:rsidR="0037709B">
        <w:rPr>
          <w:bCs/>
        </w:rPr>
        <w:t>h</w:t>
      </w:r>
      <w:r w:rsidR="00ED16C3" w:rsidRPr="006E5852">
        <w:rPr>
          <w:bCs/>
        </w:rPr>
        <w:t>,</w:t>
      </w:r>
      <w:r w:rsidR="0037709B">
        <w:rPr>
          <w:bCs/>
        </w:rPr>
        <w:t xml:space="preserve"> która obejmuje</w:t>
      </w:r>
      <w:r w:rsidR="008F6ADA" w:rsidRPr="006E5852">
        <w:rPr>
          <w:bCs/>
        </w:rPr>
        <w:t xml:space="preserve"> zakup spotów reklamowych oraz czasu antenowego w ogólnopolskiej telewizji i radiu. </w:t>
      </w:r>
    </w:p>
    <w:p w:rsidR="006E5852" w:rsidRDefault="008F6ADA" w:rsidP="006E5852">
      <w:pPr>
        <w:pStyle w:val="Akapitzlist"/>
        <w:ind w:left="284"/>
        <w:jc w:val="both"/>
        <w:rPr>
          <w:b/>
          <w:bCs/>
        </w:rPr>
      </w:pPr>
      <w:r w:rsidRPr="006E5852">
        <w:rPr>
          <w:b/>
          <w:bCs/>
        </w:rPr>
        <w:t xml:space="preserve">Łączna wartość kampanii wyniosła </w:t>
      </w:r>
      <w:r w:rsidR="0037709B">
        <w:rPr>
          <w:b/>
          <w:bCs/>
        </w:rPr>
        <w:t>13 525 000</w:t>
      </w:r>
      <w:r w:rsidRPr="006E5852">
        <w:rPr>
          <w:b/>
          <w:bCs/>
        </w:rPr>
        <w:t xml:space="preserve"> zł.</w:t>
      </w:r>
    </w:p>
    <w:p w:rsidR="00ED16C3" w:rsidRPr="006E5852" w:rsidRDefault="008F6ADA" w:rsidP="006E5852">
      <w:pPr>
        <w:pStyle w:val="Akapitzlist"/>
        <w:ind w:left="284"/>
        <w:jc w:val="both"/>
        <w:rPr>
          <w:bCs/>
        </w:rPr>
      </w:pPr>
      <w:r w:rsidRPr="006E5852">
        <w:rPr>
          <w:b/>
          <w:bCs/>
        </w:rPr>
        <w:t xml:space="preserve">  </w:t>
      </w:r>
    </w:p>
    <w:p w:rsidR="006E5852" w:rsidRDefault="006E5852" w:rsidP="0037709B">
      <w:pPr>
        <w:pStyle w:val="Akapitzlist"/>
        <w:numPr>
          <w:ilvl w:val="0"/>
          <w:numId w:val="3"/>
        </w:numPr>
        <w:ind w:left="284" w:hanging="284"/>
        <w:jc w:val="both"/>
        <w:rPr>
          <w:bCs/>
        </w:rPr>
      </w:pPr>
      <w:r>
        <w:rPr>
          <w:bCs/>
        </w:rPr>
        <w:t>R</w:t>
      </w:r>
      <w:r w:rsidR="00ED16C3" w:rsidRPr="006E5852">
        <w:rPr>
          <w:bCs/>
        </w:rPr>
        <w:t xml:space="preserve">ealizacji kampanii społecznej </w:t>
      </w:r>
      <w:r w:rsidR="0037709B" w:rsidRPr="0037709B">
        <w:rPr>
          <w:bCs/>
        </w:rPr>
        <w:t xml:space="preserve">na rzecz ograniczenia nadmiernej prędkości </w:t>
      </w:r>
      <w:r w:rsidR="0037709B">
        <w:rPr>
          <w:bCs/>
        </w:rPr>
        <w:t xml:space="preserve">i przestrzegania </w:t>
      </w:r>
      <w:r w:rsidR="0037709B">
        <w:rPr>
          <w:bCs/>
        </w:rPr>
        <w:br/>
        <w:t xml:space="preserve"> </w:t>
      </w:r>
      <w:r w:rsidR="0037709B" w:rsidRPr="0037709B">
        <w:rPr>
          <w:bCs/>
        </w:rPr>
        <w:t>obowiązujących limitów prędkości</w:t>
      </w:r>
      <w:r w:rsidR="008F6ADA" w:rsidRPr="006E5852">
        <w:rPr>
          <w:bCs/>
        </w:rPr>
        <w:t xml:space="preserve">, która obejmowała zakup spotów reklamowych oraz czasu antenowego w ogólnopolskiej telewizji i radiu. </w:t>
      </w:r>
    </w:p>
    <w:p w:rsidR="00ED16C3" w:rsidRDefault="008F6ADA" w:rsidP="0037709B">
      <w:pPr>
        <w:pStyle w:val="Akapitzlist"/>
        <w:ind w:left="284"/>
        <w:jc w:val="both"/>
        <w:rPr>
          <w:bCs/>
        </w:rPr>
      </w:pPr>
      <w:r w:rsidRPr="006E5852">
        <w:rPr>
          <w:b/>
          <w:bCs/>
        </w:rPr>
        <w:t>Łączna wartość kampanii wyniosła</w:t>
      </w:r>
      <w:r w:rsidR="00BA47B8" w:rsidRPr="006E5852">
        <w:rPr>
          <w:b/>
          <w:bCs/>
        </w:rPr>
        <w:t xml:space="preserve"> </w:t>
      </w:r>
      <w:r w:rsidR="0037709B">
        <w:rPr>
          <w:b/>
          <w:bCs/>
        </w:rPr>
        <w:t>13 525 000</w:t>
      </w:r>
      <w:r w:rsidR="00BA47B8" w:rsidRPr="006E5852">
        <w:rPr>
          <w:b/>
          <w:bCs/>
        </w:rPr>
        <w:t xml:space="preserve"> zł</w:t>
      </w:r>
      <w:r w:rsidR="00BA47B8" w:rsidRPr="006E5852">
        <w:rPr>
          <w:bCs/>
        </w:rPr>
        <w:t>.</w:t>
      </w:r>
    </w:p>
    <w:p w:rsidR="00ED16C3" w:rsidRDefault="00BA47B8" w:rsidP="00ED16C3">
      <w:pPr>
        <w:jc w:val="both"/>
        <w:rPr>
          <w:bCs/>
        </w:rPr>
      </w:pPr>
      <w:r w:rsidRPr="00BA47B8">
        <w:rPr>
          <w:bCs/>
        </w:rPr>
        <w:t xml:space="preserve">W celu zwiększenia efektywności dotarcia </w:t>
      </w:r>
      <w:r w:rsidRPr="006E5852">
        <w:rPr>
          <w:bCs/>
        </w:rPr>
        <w:t>kampanii do grupy docelowej (uczestników ruchu drogowego, w szczególności osób w wieku 18-</w:t>
      </w:r>
      <w:r w:rsidR="0037709B">
        <w:rPr>
          <w:bCs/>
        </w:rPr>
        <w:t>79</w:t>
      </w:r>
      <w:r w:rsidRPr="006E5852">
        <w:rPr>
          <w:bCs/>
        </w:rPr>
        <w:t xml:space="preserve"> lat) </w:t>
      </w:r>
      <w:r w:rsidR="006E5852" w:rsidRPr="006E5852">
        <w:rPr>
          <w:bCs/>
        </w:rPr>
        <w:t xml:space="preserve">obie kampanie społeczne </w:t>
      </w:r>
      <w:r w:rsidRPr="006E5852">
        <w:rPr>
          <w:bCs/>
        </w:rPr>
        <w:t xml:space="preserve">objęto działaniami informacyjno – promocyjnymi, które </w:t>
      </w:r>
      <w:r w:rsidR="006E5852">
        <w:rPr>
          <w:bCs/>
        </w:rPr>
        <w:t>obejmowały następujące elementy</w:t>
      </w:r>
      <w:r>
        <w:rPr>
          <w:bCs/>
        </w:rPr>
        <w:t>:</w:t>
      </w:r>
    </w:p>
    <w:p w:rsidR="0037709B" w:rsidRDefault="0037709B" w:rsidP="0037709B">
      <w:pPr>
        <w:pStyle w:val="Akapitzlist"/>
        <w:numPr>
          <w:ilvl w:val="0"/>
          <w:numId w:val="5"/>
        </w:numPr>
        <w:jc w:val="both"/>
        <w:rPr>
          <w:bCs/>
        </w:rPr>
      </w:pPr>
      <w:r w:rsidRPr="0037709B">
        <w:rPr>
          <w:bCs/>
        </w:rPr>
        <w:t xml:space="preserve">reklama zewnętrzna (np. emisja spotów w kinach przed seansami filmowymi, emisja w środkach </w:t>
      </w:r>
      <w:r w:rsidRPr="0037709B">
        <w:rPr>
          <w:bCs/>
        </w:rPr>
        <w:t>t</w:t>
      </w:r>
      <w:r w:rsidRPr="0037709B">
        <w:rPr>
          <w:bCs/>
        </w:rPr>
        <w:t>ransportu publicznego (np. pociągi dalekobieżne, kom</w:t>
      </w:r>
      <w:r>
        <w:rPr>
          <w:bCs/>
        </w:rPr>
        <w:t>unikacja miejska, billboardy).</w:t>
      </w:r>
    </w:p>
    <w:p w:rsidR="0037709B" w:rsidRDefault="0037709B" w:rsidP="0037709B">
      <w:pPr>
        <w:pStyle w:val="Akapitzlist"/>
        <w:numPr>
          <w:ilvl w:val="0"/>
          <w:numId w:val="5"/>
        </w:numPr>
        <w:jc w:val="both"/>
        <w:rPr>
          <w:bCs/>
        </w:rPr>
      </w:pPr>
      <w:r w:rsidRPr="0037709B">
        <w:rPr>
          <w:bCs/>
        </w:rPr>
        <w:lastRenderedPageBreak/>
        <w:t>materiały</w:t>
      </w:r>
      <w:r w:rsidRPr="0037709B">
        <w:rPr>
          <w:bCs/>
        </w:rPr>
        <w:t xml:space="preserve"> promocyjne nawiązujące do kampanii np.: uzupełniające i utrwalające jej przekaz. Materiały  promocyjne dystrybuowane są m.in. podczas konferencji prasowej, przeznaczone na nagrody w  ramach konkursów mających na celu propagowanie właściwych zachowań w ruchu drogowym  organizowanych w ramach promocji kampanii  za pośrednictwem mediów społecznościowych.</w:t>
      </w:r>
    </w:p>
    <w:p w:rsidR="0037709B" w:rsidRDefault="0037709B" w:rsidP="0037709B">
      <w:pPr>
        <w:pStyle w:val="Akapitzlist"/>
        <w:numPr>
          <w:ilvl w:val="0"/>
          <w:numId w:val="5"/>
        </w:numPr>
        <w:jc w:val="both"/>
        <w:rPr>
          <w:bCs/>
        </w:rPr>
      </w:pPr>
      <w:r w:rsidRPr="0037709B">
        <w:rPr>
          <w:bCs/>
        </w:rPr>
        <w:t>cykl dedykowanych audycji tematycznych w TV i radio o zasięgu ogólnopolskim w formie programów lub magazynów tematycznych uwzględniających rozmowy w studio o charakterze merytorycznym i poradnikowym, w których wezmą udział specjalnie zaproszeni goście – specjaliści z zakresu</w:t>
      </w:r>
      <w:r w:rsidRPr="0037709B">
        <w:rPr>
          <w:bCs/>
        </w:rPr>
        <w:t xml:space="preserve"> </w:t>
      </w:r>
      <w:r w:rsidRPr="0037709B">
        <w:rPr>
          <w:bCs/>
        </w:rPr>
        <w:t xml:space="preserve">bezpieczeństwa ruchu drogowego. </w:t>
      </w:r>
    </w:p>
    <w:p w:rsidR="006C1239" w:rsidRDefault="0037709B" w:rsidP="006C1239">
      <w:pPr>
        <w:pStyle w:val="Akapitzlist"/>
        <w:numPr>
          <w:ilvl w:val="0"/>
          <w:numId w:val="5"/>
        </w:numPr>
        <w:jc w:val="both"/>
        <w:rPr>
          <w:bCs/>
        </w:rPr>
      </w:pPr>
      <w:r w:rsidRPr="0037709B">
        <w:rPr>
          <w:bCs/>
        </w:rPr>
        <w:t>konferencja prasowa inaugurująca kampanie, na której przygotowane spoty zostaną zaprezentowane. Konferencja będzie miała na celu przedstawienie założeń kampanii i konsekwencji nieprzestrzegania</w:t>
      </w:r>
      <w:r w:rsidRPr="0037709B">
        <w:rPr>
          <w:bCs/>
        </w:rPr>
        <w:t xml:space="preserve"> </w:t>
      </w:r>
      <w:r w:rsidRPr="0037709B">
        <w:rPr>
          <w:bCs/>
        </w:rPr>
        <w:t>przepisów ruchu drogowego.</w:t>
      </w:r>
    </w:p>
    <w:p w:rsidR="0037709B" w:rsidRPr="006C1239" w:rsidRDefault="0037709B" w:rsidP="0037709B">
      <w:pPr>
        <w:pStyle w:val="Akapitzlist"/>
        <w:numPr>
          <w:ilvl w:val="0"/>
          <w:numId w:val="5"/>
        </w:numPr>
        <w:jc w:val="both"/>
        <w:rPr>
          <w:bCs/>
        </w:rPr>
      </w:pPr>
      <w:r w:rsidRPr="006C1239">
        <w:rPr>
          <w:bCs/>
        </w:rPr>
        <w:t xml:space="preserve">działania w Intrenecie – w tym działania w mediach społecznościowych (np. </w:t>
      </w:r>
      <w:r w:rsidR="006C1239" w:rsidRPr="006C1239">
        <w:rPr>
          <w:bCs/>
        </w:rPr>
        <w:t xml:space="preserve">Facebook, Twitter, </w:t>
      </w:r>
      <w:r w:rsidRPr="006C1239">
        <w:rPr>
          <w:bCs/>
        </w:rPr>
        <w:t xml:space="preserve">Instagram, czy współpraca z popularnymi </w:t>
      </w:r>
      <w:proofErr w:type="spellStart"/>
      <w:r w:rsidRPr="006C1239">
        <w:rPr>
          <w:bCs/>
        </w:rPr>
        <w:t>blogerami</w:t>
      </w:r>
      <w:proofErr w:type="spellEnd"/>
      <w:r w:rsidRPr="006C1239">
        <w:rPr>
          <w:bCs/>
        </w:rPr>
        <w:t xml:space="preserve"> w celu propagowania bezpiecznych zachowań w ruchu drogowym).</w:t>
      </w:r>
    </w:p>
    <w:p w:rsidR="00A61D6F" w:rsidRPr="006E5852" w:rsidRDefault="00A61D6F" w:rsidP="0037709B">
      <w:pPr>
        <w:jc w:val="both"/>
        <w:rPr>
          <w:b/>
          <w:bCs/>
        </w:rPr>
      </w:pPr>
      <w:r w:rsidRPr="00A61D6F">
        <w:rPr>
          <w:b/>
          <w:bCs/>
        </w:rPr>
        <w:t xml:space="preserve">Łączna wartość działań informacyjno- promocyjnych wyniosła </w:t>
      </w:r>
      <w:r w:rsidR="0037709B">
        <w:rPr>
          <w:b/>
          <w:bCs/>
        </w:rPr>
        <w:t>3 300 000</w:t>
      </w:r>
      <w:r w:rsidRPr="00A61D6F">
        <w:rPr>
          <w:b/>
          <w:bCs/>
        </w:rPr>
        <w:t xml:space="preserve"> zł. </w:t>
      </w:r>
    </w:p>
    <w:p w:rsidR="00A22CFF" w:rsidRDefault="00A22CFF"/>
    <w:sectPr w:rsidR="00A2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2A" w:rsidRDefault="006F7F2A" w:rsidP="00ED16C3">
      <w:pPr>
        <w:spacing w:after="0" w:line="240" w:lineRule="auto"/>
      </w:pPr>
      <w:r>
        <w:separator/>
      </w:r>
    </w:p>
  </w:endnote>
  <w:endnote w:type="continuationSeparator" w:id="0">
    <w:p w:rsidR="006F7F2A" w:rsidRDefault="006F7F2A" w:rsidP="00ED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2A" w:rsidRDefault="006F7F2A" w:rsidP="00ED16C3">
      <w:pPr>
        <w:spacing w:after="0" w:line="240" w:lineRule="auto"/>
      </w:pPr>
      <w:r>
        <w:separator/>
      </w:r>
    </w:p>
  </w:footnote>
  <w:footnote w:type="continuationSeparator" w:id="0">
    <w:p w:rsidR="006F7F2A" w:rsidRDefault="006F7F2A" w:rsidP="00ED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025"/>
    <w:multiLevelType w:val="hybridMultilevel"/>
    <w:tmpl w:val="019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56B97"/>
    <w:multiLevelType w:val="hybridMultilevel"/>
    <w:tmpl w:val="AE9E5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B30A2"/>
    <w:multiLevelType w:val="hybridMultilevel"/>
    <w:tmpl w:val="F01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17DC1"/>
    <w:multiLevelType w:val="hybridMultilevel"/>
    <w:tmpl w:val="6C58EA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9906E16"/>
    <w:multiLevelType w:val="hybridMultilevel"/>
    <w:tmpl w:val="A5ECE87E"/>
    <w:lvl w:ilvl="0" w:tplc="E0A0F3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C3"/>
    <w:rsid w:val="001B2BCC"/>
    <w:rsid w:val="0037709B"/>
    <w:rsid w:val="00510374"/>
    <w:rsid w:val="006C1239"/>
    <w:rsid w:val="006E5852"/>
    <w:rsid w:val="006F7F2A"/>
    <w:rsid w:val="008817A1"/>
    <w:rsid w:val="008F6ADA"/>
    <w:rsid w:val="00A22CFF"/>
    <w:rsid w:val="00A61D6F"/>
    <w:rsid w:val="00BA47B8"/>
    <w:rsid w:val="00E17E48"/>
    <w:rsid w:val="00EA719F"/>
    <w:rsid w:val="00ED16C3"/>
    <w:rsid w:val="00F8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rsid w:val="00E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D16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ED16C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1D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D6F"/>
  </w:style>
  <w:style w:type="paragraph" w:styleId="Akapitzlist">
    <w:name w:val="List Paragraph"/>
    <w:basedOn w:val="Normalny"/>
    <w:uiPriority w:val="34"/>
    <w:qFormat/>
    <w:rsid w:val="006E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rsid w:val="00E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D16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ED16C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1D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D6F"/>
  </w:style>
  <w:style w:type="paragraph" w:styleId="Akapitzlist">
    <w:name w:val="List Paragraph"/>
    <w:basedOn w:val="Normalny"/>
    <w:uiPriority w:val="34"/>
    <w:qFormat/>
    <w:rsid w:val="006E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Kowalewska Monika</dc:creator>
  <cp:lastModifiedBy>Kowalewska Monika</cp:lastModifiedBy>
  <cp:revision>2</cp:revision>
  <dcterms:created xsi:type="dcterms:W3CDTF">2021-03-04T11:08:00Z</dcterms:created>
  <dcterms:modified xsi:type="dcterms:W3CDTF">2021-03-04T11:08:00Z</dcterms:modified>
</cp:coreProperties>
</file>